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מימון מחשוב לתחזיות אקלים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טל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באב התשפ"א (20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למשרד התחבורה תקצוב שיושב בסעיף הרזרבות. לנוכח דחיפות ההיערכות למשבר האקלים והיעדר מחשוב מתאים ברמה הלאומית לבניית מודלים מטאורולוגיים,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מדוע לא מבוצעת הסטה תקציבית לרכישת מחשוב בסך 20 מיליון ש"ח באופן מיידי ולפני דיוני התקציב?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DD75AF5-E517-42E8-B0D6-C6667FDAE2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2160397</vt:r8>
  </property>
</Properties>
</file>