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67582B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158.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כניסת אזרח זר לפגוש את ילדיו בעידן הקורונה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ישראל אייכלר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הפנים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ב' באב התש"פ (23 ביולי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07F699DD" w:rsidR="0059335D" w:rsidRPr="009F1FFC" w:rsidRDefault="0059335D" w:rsidP="00135D40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 xml:space="preserve">בישראל </w:t>
      </w:r>
      <w:r w:rsidR="00135D40">
        <w:rPr>
          <w:rFonts w:ascii="Tahoma" w:hAnsi="Tahoma" w:cs="David" w:hint="cs"/>
          <w:rtl/>
        </w:rPr>
        <w:t>מקפידים</w:t>
      </w:r>
      <w:r>
        <w:rPr>
          <w:rFonts w:ascii="Tahoma" w:hAnsi="Tahoma" w:cs="David" w:hint="cs"/>
          <w:rtl/>
        </w:rPr>
        <w:t xml:space="preserve"> לאפשר העברת קטינים בין הורים גרושים ע"פ הסדרי ראי</w:t>
      </w:r>
      <w:r w:rsidR="0067582B">
        <w:rPr>
          <w:rFonts w:ascii="Tahoma" w:hAnsi="Tahoma" w:cs="David" w:hint="cs"/>
          <w:rtl/>
        </w:rPr>
        <w:t>י</w:t>
      </w:r>
      <w:r>
        <w:rPr>
          <w:rFonts w:ascii="Tahoma" w:hAnsi="Tahoma" w:cs="David" w:hint="cs"/>
          <w:rtl/>
        </w:rPr>
        <w:t>ה, גם בזמני סגר.</w:t>
      </w:r>
      <w:r>
        <w:br/>
      </w:r>
      <w:r>
        <w:br/>
      </w:r>
      <w:r w:rsidR="00135D40">
        <w:rPr>
          <w:rFonts w:ascii="Tahoma" w:hAnsi="Tahoma" w:cs="David" w:hint="cs"/>
          <w:rtl/>
        </w:rPr>
        <w:t xml:space="preserve">במקרה של </w:t>
      </w:r>
      <w:r>
        <w:rPr>
          <w:rFonts w:ascii="Tahoma" w:hAnsi="Tahoma" w:cs="David" w:hint="cs"/>
          <w:rtl/>
        </w:rPr>
        <w:t xml:space="preserve">בני זוג שהתגרשו ואחד ההורים </w:t>
      </w:r>
      <w:r w:rsidR="00135D40">
        <w:rPr>
          <w:rFonts w:ascii="Tahoma" w:hAnsi="Tahoma" w:cs="David" w:hint="cs"/>
          <w:rtl/>
        </w:rPr>
        <w:t xml:space="preserve">הוא </w:t>
      </w:r>
      <w:r>
        <w:rPr>
          <w:rFonts w:ascii="Tahoma" w:hAnsi="Tahoma" w:cs="David" w:hint="cs"/>
          <w:rtl/>
        </w:rPr>
        <w:t xml:space="preserve">אזרח זר </w:t>
      </w:r>
      <w:r w:rsidR="00BE2465">
        <w:rPr>
          <w:rFonts w:ascii="Tahoma" w:hAnsi="Tahoma" w:cs="David" w:hint="cs"/>
          <w:rtl/>
        </w:rPr>
        <w:t>השוהה בחו"ל</w:t>
      </w:r>
      <w:r>
        <w:rPr>
          <w:rFonts w:ascii="Tahoma" w:hAnsi="Tahoma" w:cs="David" w:hint="cs"/>
          <w:rtl/>
        </w:rPr>
        <w:t xml:space="preserve">, </w:t>
      </w:r>
      <w:r w:rsidR="00135D40">
        <w:rPr>
          <w:rFonts w:ascii="Tahoma" w:hAnsi="Tahoma" w:cs="David" w:hint="cs"/>
          <w:rtl/>
        </w:rPr>
        <w:t xml:space="preserve">הוא </w:t>
      </w:r>
      <w:r>
        <w:rPr>
          <w:rFonts w:ascii="Tahoma" w:hAnsi="Tahoma" w:cs="David" w:hint="cs"/>
          <w:rtl/>
        </w:rPr>
        <w:t>אינו מורשה להיכנס ארצה לראות את ילדיו.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54004B70" w:rsidR="0059335D" w:rsidRPr="009F1FFC" w:rsidRDefault="0059335D" w:rsidP="00135D4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>האם נכון</w:t>
      </w:r>
      <w:r w:rsidR="00135D40">
        <w:rPr>
          <w:rFonts w:ascii="Tahoma" w:hAnsi="Tahoma" w:cs="David" w:hint="cs"/>
          <w:rtl/>
        </w:rPr>
        <w:t xml:space="preserve"> הדבר</w:t>
      </w:r>
      <w:r>
        <w:rPr>
          <w:rFonts w:ascii="Tahoma" w:hAnsi="Tahoma" w:cs="David" w:hint="cs"/>
          <w:rtl/>
        </w:rPr>
        <w:t>?</w:t>
      </w:r>
      <w:bookmarkEnd w:id="14"/>
      <w:r w:rsidR="00135D40">
        <w:rPr>
          <w:rFonts w:ascii="Tahoma" w:hAnsi="Tahoma" w:cs="David" w:hint="cs"/>
          <w:rtl/>
        </w:rPr>
        <w:t xml:space="preserve"> אם כן - </w:t>
      </w:r>
    </w:p>
    <w:p w14:paraId="5E19FAFE" w14:textId="6DABAE41" w:rsidR="00251507" w:rsidRDefault="00135D40" w:rsidP="00135D4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 xml:space="preserve">מדוע </w:t>
      </w:r>
      <w:r w:rsidR="00BE2465">
        <w:rPr>
          <w:rFonts w:ascii="Tahoma" w:hAnsi="Tahoma" w:cs="David" w:hint="cs"/>
          <w:rtl/>
        </w:rPr>
        <w:t xml:space="preserve">לא </w:t>
      </w:r>
      <w:r>
        <w:rPr>
          <w:rFonts w:ascii="Tahoma" w:hAnsi="Tahoma" w:cs="David" w:hint="cs"/>
          <w:rtl/>
        </w:rPr>
        <w:t>מאפשרים</w:t>
      </w:r>
      <w:r w:rsidR="00BE2465">
        <w:rPr>
          <w:rFonts w:ascii="Tahoma" w:hAnsi="Tahoma" w:cs="David" w:hint="cs"/>
          <w:rtl/>
        </w:rPr>
        <w:t xml:space="preserve"> כניסה במסגרת הסדרי ראי</w:t>
      </w:r>
      <w:r w:rsidR="0067582B">
        <w:rPr>
          <w:rFonts w:ascii="Tahoma" w:hAnsi="Tahoma" w:cs="David" w:hint="cs"/>
          <w:rtl/>
        </w:rPr>
        <w:t>י</w:t>
      </w:r>
      <w:bookmarkStart w:id="15" w:name="_GoBack"/>
      <w:bookmarkEnd w:id="15"/>
      <w:r w:rsidR="00BE2465">
        <w:rPr>
          <w:rFonts w:ascii="Tahoma" w:hAnsi="Tahoma" w:cs="David" w:hint="cs"/>
          <w:rtl/>
        </w:rPr>
        <w:t>ה המעוג</w:t>
      </w:r>
      <w:r>
        <w:rPr>
          <w:rFonts w:ascii="Tahoma" w:hAnsi="Tahoma" w:cs="David" w:hint="cs"/>
          <w:rtl/>
        </w:rPr>
        <w:t>נים</w:t>
      </w:r>
      <w:r w:rsidR="00BE2465">
        <w:rPr>
          <w:rFonts w:ascii="Tahoma" w:hAnsi="Tahoma" w:cs="David" w:hint="cs"/>
          <w:rtl/>
        </w:rPr>
        <w:t xml:space="preserve"> בצו?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13/08/2020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35D40"/>
    <w:rsid w:val="00204B38"/>
    <w:rsid w:val="00233EE6"/>
    <w:rsid w:val="00251507"/>
    <w:rsid w:val="00335123"/>
    <w:rsid w:val="00367DAB"/>
    <w:rsid w:val="003E4FE2"/>
    <w:rsid w:val="00472AB3"/>
    <w:rsid w:val="0059335D"/>
    <w:rsid w:val="0061561D"/>
    <w:rsid w:val="00616EB6"/>
    <w:rsid w:val="0067582B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BE2465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33B56038"/>
  <w15:docId w15:val="{8A378038-BDC9-4E3B-998A-4395AED60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8EA57D-F728-4D7C-9F3B-0D8A998313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0A5520A-33F8-4164-B8F1-FEA31AEAB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5</cp:revision>
  <cp:lastPrinted>2014-08-13T07:48:00Z</cp:lastPrinted>
  <dcterms:created xsi:type="dcterms:W3CDTF">2012-11-26T12:31:00Z</dcterms:created>
  <dcterms:modified xsi:type="dcterms:W3CDTF">2020-08-18T14:01:00Z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2143295</vt:r8>
  </property>
</Properties>
</file>