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7277B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hint="cs"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7277B2" w:rsidP="007277B2" w:rsidRDefault="007277B2" w14:paraId="6A29B47C" w14:textId="0A41FA64">
      <w:pPr>
        <w:rPr>
          <w:rtl/>
        </w:rPr>
      </w:pPr>
    </w:p>
    <w:p w:rsidR="007277B2" w:rsidP="007277B2" w:rsidRDefault="007277B2" w14:paraId="2F527AE9" w14:textId="77777777">
      <w:pPr>
        <w:rPr>
          <w:rtl/>
        </w:rPr>
      </w:pPr>
    </w:p>
    <w:p w:rsidRPr="007277B2" w:rsidR="007277B2" w:rsidP="007277B2" w:rsidRDefault="007277B2" w14:paraId="1B89D3E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1338.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כהונתו של גנז-המדינה</w:t>
      </w:r>
      <w:bookmarkEnd w:id="4"/>
    </w:p>
    <w:p w:rsidR="007277B2" w:rsidP="007277B2" w:rsidRDefault="007277B2" w14:paraId="181D46CE" w14:textId="71321C00">
      <w:pPr>
        <w:rPr>
          <w:rtl/>
        </w:rPr>
      </w:pPr>
    </w:p>
    <w:p w:rsidRPr="007277B2" w:rsidR="007277B2" w:rsidP="007277B2" w:rsidRDefault="007277B2" w14:paraId="1A8B686F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מרב מיכאלי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בתמוז התשע"ח (20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7277B2" w:rsidRDefault="0059335D" w14:paraId="62A373DE" w14:textId="36A5712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פעילות </w:t>
      </w:r>
      <w:r w:rsidR="007277B2">
        <w:rPr>
          <w:rFonts w:hint="cs" w:ascii="Tahoma" w:hAnsi="Tahoma" w:cs="David"/>
          <w:rtl/>
        </w:rPr>
        <w:t>בלתי-</w:t>
      </w:r>
      <w:r>
        <w:rPr>
          <w:rFonts w:hint="cs" w:ascii="Tahoma" w:hAnsi="Tahoma" w:cs="David"/>
          <w:rtl/>
        </w:rPr>
        <w:t xml:space="preserve">חוקית עליה חזר והתריע המשנה </w:t>
      </w:r>
      <w:r w:rsidR="007277B2">
        <w:rPr>
          <w:rFonts w:hint="cs" w:ascii="Tahoma" w:hAnsi="Tahoma" w:cs="David"/>
          <w:rtl/>
        </w:rPr>
        <w:t>ליועץ המשפטי</w:t>
      </w:r>
      <w:r>
        <w:rPr>
          <w:rFonts w:hint="cs" w:ascii="Tahoma" w:hAnsi="Tahoma" w:cs="David"/>
          <w:rtl/>
        </w:rPr>
        <w:t xml:space="preserve"> וטענות בדבר התעמרות בעובדים</w:t>
      </w:r>
      <w:r w:rsidR="007277B2">
        <w:rPr>
          <w:rFonts w:hint="cs" w:ascii="Tahoma" w:hAnsi="Tahoma" w:cs="David"/>
          <w:rtl/>
        </w:rPr>
        <w:t>, הובילו את גנז-</w:t>
      </w:r>
      <w:r>
        <w:rPr>
          <w:rFonts w:hint="cs" w:ascii="Tahoma" w:hAnsi="Tahoma" w:cs="David"/>
          <w:rtl/>
        </w:rPr>
        <w:t>המדינה</w:t>
      </w:r>
      <w:r w:rsidR="007277B2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להודיע על התפטרותו לפני כשנה. אולם עד עתה טרם מונה מחליף.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7277B2" w:rsidR="007277B2" w:rsidP="007277B2" w:rsidRDefault="007277B2" w14:paraId="03F1AF65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מדוע?</w:t>
      </w:r>
      <w:bookmarkEnd w:id="14"/>
    </w:p>
    <w:p w:rsidR="00CB0126" w:rsidRDefault="007277B2" w14:paraId="3DA9A031" w14:textId="651E9B8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כדי למנות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לאלתר מחליף מבין עובדי הגנזך המתאימים?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11/07/2018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277B2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B0126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CD912BAB-A779-4A9B-8B77-77EFD1CA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9E2CE-9906-4B32-B4C2-DF9B409E9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B7F0A6-4AA9-4B68-9B4B-3E367DDE8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56</Words>
  <Characters>282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2072178</vt:r8>
  </property>
</Properties>
</file>