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964C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A964CC" w:rsidP="00472AB3" w:rsidRDefault="0059335D" w14:paraId="63E38C9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</w:p>
    <w:p w:rsidR="00A964CC" w:rsidP="00472AB3" w:rsidRDefault="00A964CC" w14:paraId="352D1032" w14:textId="77777777">
      <w:pPr>
        <w:pStyle w:val="1"/>
        <w:rPr>
          <w:rtl/>
        </w:rPr>
      </w:pPr>
    </w:p>
    <w:p w:rsidR="00A964CC" w:rsidP="00472AB3" w:rsidRDefault="00A964CC" w14:paraId="1CD30BE8" w14:textId="77777777">
      <w:pPr>
        <w:pStyle w:val="1"/>
        <w:rPr>
          <w:rtl/>
        </w:rPr>
      </w:pPr>
    </w:p>
    <w:p w:rsidRPr="00472AB3" w:rsidR="0059335D" w:rsidP="00472AB3" w:rsidRDefault="0059335D" w14:paraId="13161428" w14:textId="2B959436">
      <w:pPr>
        <w:pStyle w:val="1"/>
        <w:rPr>
          <w:rtl/>
        </w:rPr>
      </w:pPr>
      <w:r>
        <w:rPr>
          <w:rFonts w:hint="cs"/>
          <w:rtl/>
        </w:rPr>
        <w:t xml:space="preserve"> </w:t>
      </w:r>
      <w:bookmarkEnd w:id="2"/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1137.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אימוץ מתווה הבוררות בעניין הקו הסגול של הרכבת הקלה ברמת-גן</w:t>
      </w:r>
      <w:bookmarkEnd w:id="4"/>
    </w:p>
    <w:p w:rsidR="00A964CC" w:rsidP="00A964CC" w:rsidRDefault="00A964CC" w14:paraId="021AB805" w14:textId="279364BE">
      <w:pPr>
        <w:rPr>
          <w:rtl/>
        </w:rPr>
      </w:pPr>
    </w:p>
    <w:p w:rsidR="00A964CC" w:rsidP="00A964CC" w:rsidRDefault="00A964CC" w14:paraId="11954C0E" w14:textId="77777777">
      <w:pPr>
        <w:rPr>
          <w:rtl/>
        </w:rPr>
      </w:pPr>
    </w:p>
    <w:p w:rsidRPr="00A964CC" w:rsidR="00A964CC" w:rsidP="00A964CC" w:rsidRDefault="00A964CC" w14:paraId="46B3B471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התשע"ח (9 בינואר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A964CC" w:rsidP="0059335D" w:rsidRDefault="00A964CC" w14:paraId="3920FAA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964CC" w:rsidRDefault="0059335D" w14:paraId="62A373DE" w14:textId="4E048D3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קיימת מחלוקת מקצועית בין עיריית ר</w:t>
      </w:r>
      <w:r w:rsidR="00A964CC">
        <w:rPr>
          <w:rFonts w:hint="cs" w:ascii="Tahoma" w:hAnsi="Tahoma" w:cs="David"/>
          <w:rtl/>
        </w:rPr>
        <w:t>מת-גן</w:t>
      </w:r>
      <w:r>
        <w:rPr>
          <w:rFonts w:hint="cs" w:ascii="Tahoma" w:hAnsi="Tahoma" w:cs="David"/>
          <w:rtl/>
        </w:rPr>
        <w:t xml:space="preserve"> לבין </w:t>
      </w:r>
      <w:r w:rsidR="00A964CC">
        <w:rPr>
          <w:rFonts w:hint="cs" w:ascii="Tahoma" w:hAnsi="Tahoma" w:cs="David"/>
          <w:rtl/>
        </w:rPr>
        <w:t>"נתיבי תחבורה עירוניים (</w:t>
      </w:r>
      <w:r>
        <w:rPr>
          <w:rFonts w:hint="cs" w:ascii="Tahoma" w:hAnsi="Tahoma" w:cs="David"/>
          <w:rtl/>
        </w:rPr>
        <w:t>נת"ע</w:t>
      </w:r>
      <w:r w:rsidR="00A964CC">
        <w:rPr>
          <w:rFonts w:hint="cs" w:ascii="Tahoma" w:hAnsi="Tahoma" w:cs="David"/>
          <w:rtl/>
        </w:rPr>
        <w:t>)</w:t>
      </w:r>
      <w:r>
        <w:rPr>
          <w:rFonts w:hint="cs" w:ascii="Tahoma" w:hAnsi="Tahoma" w:cs="David"/>
          <w:rtl/>
        </w:rPr>
        <w:t xml:space="preserve"> </w:t>
      </w:r>
      <w:r w:rsidR="00A964CC">
        <w:rPr>
          <w:rFonts w:hint="cs" w:ascii="Tahoma" w:hAnsi="Tahoma" w:cs="David"/>
          <w:rtl/>
        </w:rPr>
        <w:t>בעניין</w:t>
      </w:r>
      <w:r>
        <w:rPr>
          <w:rFonts w:hint="cs" w:ascii="Tahoma" w:hAnsi="Tahoma" w:cs="David"/>
          <w:rtl/>
        </w:rPr>
        <w:t xml:space="preserve"> ת</w:t>
      </w:r>
      <w:r w:rsidR="00A964CC">
        <w:rPr>
          <w:rFonts w:hint="cs" w:ascii="Tahoma" w:hAnsi="Tahoma" w:cs="David"/>
          <w:rtl/>
        </w:rPr>
        <w:t>כנון הקו הסגול של הרכבת הקלה ברמת-</w:t>
      </w:r>
      <w:r>
        <w:rPr>
          <w:rFonts w:hint="cs" w:ascii="Tahoma" w:hAnsi="Tahoma" w:cs="David"/>
          <w:rtl/>
        </w:rPr>
        <w:t>ג</w:t>
      </w:r>
      <w:r w:rsidR="00A964CC">
        <w:rPr>
          <w:rFonts w:hint="cs" w:ascii="Tahoma" w:hAnsi="Tahoma" w:cs="David"/>
          <w:rtl/>
        </w:rPr>
        <w:t>ן</w:t>
      </w:r>
      <w:r>
        <w:rPr>
          <w:rFonts w:hint="cs" w:ascii="Tahoma" w:hAnsi="Tahoma" w:cs="David"/>
          <w:rtl/>
        </w:rPr>
        <w:t xml:space="preserve">. </w:t>
      </w:r>
      <w:r>
        <w:br/>
      </w:r>
      <w:r>
        <w:rPr>
          <w:rFonts w:hint="cs" w:ascii="Tahoma" w:hAnsi="Tahoma" w:cs="David"/>
          <w:rtl/>
        </w:rPr>
        <w:t>בדיון מיוחד שהתקיים לאחרונה בו</w:t>
      </w:r>
      <w:r w:rsidR="00A964CC">
        <w:rPr>
          <w:rFonts w:hint="cs" w:ascii="Tahoma" w:hAnsi="Tahoma" w:cs="David"/>
          <w:rtl/>
        </w:rPr>
        <w:t>ועדת-הכלכלה הוצע על-ידי</w:t>
      </w:r>
      <w:r>
        <w:rPr>
          <w:rFonts w:hint="cs" w:ascii="Tahoma" w:hAnsi="Tahoma" w:cs="David"/>
          <w:rtl/>
        </w:rPr>
        <w:t xml:space="preserve"> יו"ר הוועדה לקיים בוררות מקצועית.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964CC" w:rsidR="00A964CC" w:rsidP="00A964CC" w:rsidRDefault="00A964CC" w14:paraId="1FAAC303" w14:textId="77777777">
      <w:pPr>
        <w:rPr>
          <w:rtl/>
        </w:rPr>
      </w:pPr>
    </w:p>
    <w:p w:rsidRPr="009F1FFC" w:rsidR="0059335D" w:rsidP="0059335D" w:rsidRDefault="00A964CC" w14:paraId="0F57CE1B" w14:textId="6CCBE2F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מהי עמדת משרד-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התחבורה ביחס למחלוקת?</w:t>
      </w:r>
      <w:bookmarkEnd w:id="14"/>
    </w:p>
    <w:p w:rsidR="00295C95" w:rsidRDefault="00A964CC" w14:paraId="14774BF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תאמץ את מתווה הבוררות?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30/01/2018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95C95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964CC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0074A72-1D61-4D4D-93AE-8C0D00AF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C13C8-C261-441E-9C7E-DBB95276F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0D0643-0968-4633-8579-F32F6474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2063459</vt:r8>
  </property>
</Properties>
</file>