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1B564A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1B564A" w:rsidP="001B564A" w:rsidRDefault="001B564A" w14:paraId="232EC4E0" w14:textId="4556F40A">
      <w:pPr>
        <w:rPr>
          <w:rtl/>
        </w:rPr>
      </w:pPr>
    </w:p>
    <w:p w:rsidR="001B564A" w:rsidP="001B564A" w:rsidRDefault="001B564A" w14:paraId="66B192BB" w14:textId="77777777">
      <w:pPr>
        <w:rPr>
          <w:rtl/>
        </w:rPr>
      </w:pPr>
    </w:p>
    <w:p w:rsidRPr="001B564A" w:rsidR="001B564A" w:rsidP="001B564A" w:rsidRDefault="001B564A" w14:paraId="4BCD977E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1096.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הנחיות המשטרה באשר לנהג המסיט מבט </w:t>
      </w:r>
      <w:bookmarkEnd w:id="4"/>
    </w:p>
    <w:p w:rsidR="001B564A" w:rsidP="001B564A" w:rsidRDefault="001B564A" w14:paraId="30B8C048" w14:textId="37F7F21B">
      <w:pPr>
        <w:rPr>
          <w:rtl/>
        </w:rPr>
      </w:pPr>
    </w:p>
    <w:p w:rsidR="001B564A" w:rsidP="001B564A" w:rsidRDefault="001B564A" w14:paraId="4DE7280A" w14:textId="77777777">
      <w:pPr>
        <w:rPr>
          <w:rtl/>
        </w:rPr>
      </w:pPr>
    </w:p>
    <w:p w:rsidRPr="001B564A" w:rsidR="001B564A" w:rsidP="001B564A" w:rsidRDefault="001B564A" w14:paraId="1085D568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נחמן שי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בכסלו התשע"ח (12 בדצמבר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1B564A" w:rsidP="0059335D" w:rsidRDefault="001B564A" w14:paraId="03D7F485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2805B27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לאחרונה פורסמה הנחיה חדשה</w:t>
      </w:r>
      <w:r w:rsidR="001B564A">
        <w:rPr>
          <w:rFonts w:hint="cs" w:ascii="Tahoma" w:hAnsi="Tahoma" w:cs="David"/>
          <w:rtl/>
        </w:rPr>
        <w:t>, רחבה, שאינה מפורטת, של המשטרה המעלה סימני-</w:t>
      </w:r>
      <w:r>
        <w:rPr>
          <w:rFonts w:hint="cs" w:ascii="Tahoma" w:hAnsi="Tahoma" w:cs="David"/>
          <w:rtl/>
        </w:rPr>
        <w:t>שאלה רבים.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1B564A" w:rsidR="001B564A" w:rsidP="001B564A" w:rsidRDefault="001B564A" w14:paraId="7D9B396B" w14:textId="77777777">
      <w:pPr>
        <w:rPr>
          <w:rtl/>
        </w:rPr>
      </w:pPr>
    </w:p>
    <w:p w:rsidRPr="009F1FFC" w:rsidR="0059335D" w:rsidP="001B564A" w:rsidRDefault="0059335D" w14:paraId="0F57CE1B" w14:textId="62E3F20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כיצד </w:t>
      </w:r>
      <w:r w:rsidR="001B564A">
        <w:rPr>
          <w:rFonts w:hint="cs" w:ascii="Tahoma" w:hAnsi="Tahoma" w:cs="David"/>
          <w:rtl/>
        </w:rPr>
        <w:t>תאכוף</w:t>
      </w:r>
      <w:r>
        <w:rPr>
          <w:rFonts w:hint="cs" w:ascii="Tahoma" w:hAnsi="Tahoma" w:cs="David"/>
          <w:rtl/>
        </w:rPr>
        <w:t xml:space="preserve"> </w:t>
      </w:r>
      <w:r w:rsidR="001B564A">
        <w:rPr>
          <w:rFonts w:hint="cs" w:ascii="Tahoma" w:hAnsi="Tahoma" w:cs="David"/>
          <w:rtl/>
        </w:rPr>
        <w:t>אותה</w:t>
      </w:r>
      <w:r w:rsidR="001B564A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המשטרה?</w:t>
      </w:r>
      <w:bookmarkEnd w:id="14"/>
    </w:p>
    <w:p w:rsidR="00AA2344" w:rsidRDefault="001B564A" w14:paraId="1363A8B3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אין הגדרה מפורטת של העבירה?</w:t>
      </w:r>
    </w:p>
    <w:p w:rsidR="001B564A" w:rsidRDefault="001B564A" w14:paraId="5DC8EE0D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האם ההנחיה אינה מעניקה כוח מופרז ביד השוטר? </w:t>
      </w:r>
    </w:p>
    <w:p w:rsidR="00AA2344" w:rsidRDefault="001B564A" w14:paraId="714B9000" w14:textId="70C7FF1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כדי</w:t>
      </w:r>
      <w:r>
        <w:rPr>
          <w:rFonts w:hint="cs" w:ascii="Tahoma" w:hAnsi="Tahoma" w:cs="David"/>
          <w:rtl/>
        </w:rPr>
        <w:t xml:space="preserve"> לאזן את </w:t>
      </w:r>
      <w:bookmarkStart w:name="_GoBack" w:id="15"/>
      <w:bookmarkEnd w:id="15"/>
      <w:r>
        <w:rPr>
          <w:rFonts w:hint="cs" w:ascii="Tahoma" w:hAnsi="Tahoma" w:cs="David"/>
          <w:rtl/>
        </w:rPr>
        <w:t>הכוח?</w:t>
      </w:r>
    </w:p>
    <w:p w:rsidR="00AA2344" w:rsidRDefault="001B564A" w14:paraId="7AE039F2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כיצד אמור בית-המשפט לפסוק בנושא?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02/01/2018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B564A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A2344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9F2C64DD-2F31-4745-A99E-E2D925059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A3960-6061-4954-91FF-1824AD53BC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36013F-5835-483E-8DE4-FDD053BCC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62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2017-12-12T07:48:00Z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2024543</vt:r8>
  </property>
</Properties>
</file>