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928B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95B68" w:rsidP="0059335D" w:rsidRDefault="00995B68" w14:paraId="50D44EB5" w14:textId="1F1F739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95B68" w:rsidP="0059335D" w:rsidRDefault="00995B68" w14:paraId="11AC6EB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95B68" w:rsidP="0059335D" w:rsidRDefault="00995B68" w14:paraId="0615DA9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חוסר מידע בעניין קורנפלקס הנגוע בסלמונלה</w:t>
      </w:r>
      <w:bookmarkEnd w:id="4"/>
    </w:p>
    <w:p w:rsidR="00995B68" w:rsidP="0059335D" w:rsidRDefault="00995B68" w14:paraId="6E756F03" w14:textId="7BE3423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95B68" w:rsidP="0059335D" w:rsidRDefault="00995B68" w14:paraId="14A43DC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בתמוז התשע"ו (1 באוגוסט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995B68" w:rsidP="0059335D" w:rsidRDefault="00995B68" w14:paraId="204DE6B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95B68" w:rsidRDefault="0059335D" w14:paraId="62A373DE" w14:textId="5E4097E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התקשורת עסקה בקורנפלקס </w:t>
      </w:r>
      <w:r w:rsidR="00995B68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תלמה</w:t>
      </w:r>
      <w:r w:rsidR="00995B68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ובחשש </w:t>
      </w:r>
      <w:r w:rsidR="00995B68">
        <w:rPr>
          <w:rFonts w:hint="cs" w:ascii="Tahoma" w:hAnsi="Tahoma" w:cs="David"/>
          <w:rtl/>
        </w:rPr>
        <w:t>שנ</w:t>
      </w:r>
      <w:r>
        <w:rPr>
          <w:rFonts w:hint="cs" w:ascii="Tahoma" w:hAnsi="Tahoma" w:cs="David"/>
          <w:rtl/>
        </w:rPr>
        <w:t>רכשו מוצרים נגועים בסלמונלה. החברה הודיעה שאין בידי הציבור מוצרים פגומים אבל</w:t>
      </w:r>
      <w:r w:rsidR="00995B68">
        <w:rPr>
          <w:rFonts w:hint="cs" w:ascii="Tahoma" w:hAnsi="Tahoma" w:cs="David"/>
          <w:rtl/>
        </w:rPr>
        <w:t xml:space="preserve"> ניאותה לרכוש מוצרים חזרה. משרד-</w:t>
      </w:r>
      <w:r>
        <w:rPr>
          <w:rFonts w:hint="cs" w:ascii="Tahoma" w:hAnsi="Tahoma" w:cs="David"/>
          <w:rtl/>
        </w:rPr>
        <w:t xml:space="preserve">הבריאות </w:t>
      </w:r>
      <w:r w:rsidR="00995B68">
        <w:rPr>
          <w:rFonts w:hint="cs" w:ascii="Tahoma" w:hAnsi="Tahoma" w:cs="David"/>
          <w:rtl/>
        </w:rPr>
        <w:t>טרם</w:t>
      </w:r>
      <w:r>
        <w:rPr>
          <w:rFonts w:hint="cs" w:ascii="Tahoma" w:hAnsi="Tahoma" w:cs="David"/>
          <w:rtl/>
        </w:rPr>
        <w:t xml:space="preserve"> אמר </w:t>
      </w:r>
      <w:r w:rsidR="00995B68">
        <w:rPr>
          <w:rFonts w:hint="cs" w:ascii="Tahoma" w:hAnsi="Tahoma" w:cs="David"/>
          <w:rtl/>
        </w:rPr>
        <w:t>דבר</w:t>
      </w:r>
      <w:r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95B68" w:rsidP="0059335D" w:rsidRDefault="00995B68" w14:paraId="6F10CCE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928BC" w:rsidRDefault="0059335D" w14:paraId="0F57CE1B" w14:textId="3CA9CAB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הנושא</w:t>
      </w:r>
      <w:r w:rsidR="00F928BC">
        <w:rPr>
          <w:rFonts w:hint="cs" w:ascii="Tahoma" w:hAnsi="Tahoma" w:cs="David"/>
          <w:rtl/>
        </w:rPr>
        <w:t xml:space="preserve"> נבדק</w:t>
      </w:r>
      <w:r>
        <w:rPr>
          <w:rFonts w:hint="cs" w:ascii="Tahoma" w:hAnsi="Tahoma" w:cs="David"/>
          <w:rtl/>
        </w:rPr>
        <w:t>?</w:t>
      </w:r>
      <w:bookmarkEnd w:id="14"/>
      <w:r w:rsidR="00F928BC">
        <w:rPr>
          <w:rFonts w:hint="cs" w:ascii="Tahoma" w:hAnsi="Tahoma" w:cs="David"/>
          <w:rtl/>
        </w:rPr>
        <w:t xml:space="preserve"> אם כן –</w:t>
      </w:r>
      <w:bookmarkStart w:name="_GoBack" w:id="15"/>
      <w:bookmarkEnd w:id="15"/>
    </w:p>
    <w:p w:rsidR="00F91CAB" w:rsidRDefault="00F928BC" w14:paraId="095A3B1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התואיל למסור לציבור מידע ברור?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95B68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91CAB"/>
    <w:rsid w:val="00F928B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576514-E3A6-4DF1-9BBF-9DF5D78D1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0105C6-CCED-4EB4-8EE9-E3AA909B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2006784</vt:r8>
  </property>
</Properties>
</file>